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39480"/>
      <w:bookmarkEnd w:id="0"/>
      <w:bookmarkStart w:id="1" w:name="_Hlt448930105"/>
      <w:bookmarkEnd w:id="1"/>
      <w:bookmarkStart w:id="2" w:name="_Hlt450066087"/>
      <w:bookmarkEnd w:id="2"/>
      <w:bookmarkStart w:id="3" w:name="_Hlt450051172"/>
      <w:bookmarkEnd w:id="3"/>
      <w:bookmarkStart w:id="4" w:name="_Hlt449016246"/>
      <w:bookmarkEnd w:id="4"/>
      <w:bookmarkStart w:id="5" w:name="_Hlt45006608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900</w:t>
      </w:r>
      <w:bookmarkStart w:id="23" w:name="_GoBack"/>
      <w:bookmarkEnd w:id="23"/>
      <w:r>
        <w:rPr>
          <w:rFonts w:hint="eastAsia"/>
          <w:b/>
          <w:i/>
          <w:sz w:val="28"/>
          <w:highlight w:val="none"/>
          <w:lang w:val="en-US" w:eastAsia="zh-CN"/>
        </w:rPr>
        <w:t xml:space="preserve">564 </w:t>
      </w:r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Athens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GR, 25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Feb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March,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subclause 7.1 and 8.3.2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agreed to delete CISPR 16-1-1 reference in RAN4#89bis meeting, Here we do some clean up.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Deleted the reference standard CISPR 16-1-1 in TS 38.113.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Unnecessary reference standard about CISPR 16-1-1.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7.1, 8.3.2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19201"/>
      <w:bookmarkStart w:id="11" w:name="_Toc497395449"/>
      <w:bookmarkStart w:id="12" w:name="_Toc5038"/>
      <w:bookmarkStart w:id="13" w:name="_Toc478463326"/>
      <w:bookmarkStart w:id="14" w:name="_Toc16758"/>
      <w:bookmarkStart w:id="15" w:name="_Toc17336"/>
      <w:bookmarkStart w:id="16" w:name="_Toc6033"/>
      <w:bookmarkStart w:id="17" w:name="_Toc788"/>
      <w:bookmarkStart w:id="18" w:name="_Toc28897"/>
      <w:bookmarkStart w:id="19" w:name="_Toc10103"/>
      <w:bookmarkStart w:id="20" w:name="_Toc16090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</w:pPr>
      <w:bookmarkStart w:id="21" w:name="_Toc535249216"/>
      <w:r>
        <w:rPr>
          <w:rFonts w:hint="eastAsia"/>
          <w:lang w:val="en-US" w:eastAsia="zh-CN"/>
        </w:rPr>
        <w:t>7</w:t>
      </w:r>
      <w:r>
        <w:t>.1</w:t>
      </w:r>
      <w:r>
        <w:tab/>
      </w:r>
      <w:r>
        <w:rPr>
          <w:rFonts w:hint="eastAsia"/>
          <w:lang w:val="en-US" w:eastAsia="zh-CN"/>
        </w:rPr>
        <w:t>Emission</w:t>
      </w:r>
      <w:bookmarkEnd w:id="21"/>
    </w:p>
    <w:p>
      <w:pPr>
        <w:pStyle w:val="61"/>
        <w:rPr>
          <w:lang w:eastAsia="en-GB"/>
        </w:rPr>
      </w:pPr>
      <w:r>
        <w:rPr>
          <w:lang w:eastAsia="en-GB"/>
        </w:rPr>
        <w:t>Table 7.1-1: Emission requirements applicability</w:t>
      </w:r>
      <w:r>
        <w:rPr>
          <w:rFonts w:hint="eastAsia"/>
          <w:lang w:val="en-US" w:eastAsia="zh-CN"/>
        </w:rPr>
        <w:t xml:space="preserve"> </w:t>
      </w:r>
    </w:p>
    <w:tbl>
      <w:tblPr>
        <w:tblStyle w:val="47"/>
        <w:tblW w:w="98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25" w:type="dxa"/>
        </w:tblCellMar>
      </w:tblPr>
      <w:tblGrid>
        <w:gridCol w:w="1669"/>
        <w:gridCol w:w="1726"/>
        <w:gridCol w:w="1118"/>
        <w:gridCol w:w="1044"/>
        <w:gridCol w:w="1131"/>
        <w:gridCol w:w="3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669" w:type="dxa"/>
            <w:vMerge w:val="restart"/>
            <w:vAlign w:val="center"/>
          </w:tcPr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Phenomenon</w:t>
            </w:r>
          </w:p>
        </w:tc>
        <w:tc>
          <w:tcPr>
            <w:tcW w:w="1726" w:type="dxa"/>
            <w:vMerge w:val="restart"/>
            <w:vAlign w:val="center"/>
          </w:tcPr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Application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Equipment test requirement</w:t>
            </w:r>
          </w:p>
        </w:tc>
        <w:tc>
          <w:tcPr>
            <w:tcW w:w="1131" w:type="dxa"/>
            <w:vMerge w:val="restart"/>
            <w:vAlign w:val="center"/>
          </w:tcPr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subclause in the present document</w:t>
            </w:r>
          </w:p>
        </w:tc>
        <w:tc>
          <w:tcPr>
            <w:tcW w:w="3169" w:type="dxa"/>
            <w:vMerge w:val="restart"/>
            <w:vAlign w:val="center"/>
          </w:tcPr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Standard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669" w:type="dxa"/>
            <w:vMerge w:val="continue"/>
            <w:vAlign w:val="center"/>
          </w:tcPr>
          <w:p>
            <w:pPr>
              <w:pStyle w:val="71"/>
              <w:rPr>
                <w:lang w:eastAsia="en-GB"/>
              </w:rPr>
            </w:pPr>
          </w:p>
        </w:tc>
        <w:tc>
          <w:tcPr>
            <w:tcW w:w="1726" w:type="dxa"/>
            <w:vMerge w:val="continue"/>
            <w:vAlign w:val="center"/>
          </w:tcPr>
          <w:p>
            <w:pPr>
              <w:pStyle w:val="71"/>
              <w:rPr>
                <w:lang w:eastAsia="en-GB"/>
              </w:rPr>
            </w:pPr>
          </w:p>
        </w:tc>
        <w:tc>
          <w:tcPr>
            <w:tcW w:w="1118" w:type="dxa"/>
            <w:vAlign w:val="center"/>
          </w:tcPr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BS equipment</w:t>
            </w:r>
          </w:p>
        </w:tc>
        <w:tc>
          <w:tcPr>
            <w:tcW w:w="1044" w:type="dxa"/>
            <w:vAlign w:val="center"/>
          </w:tcPr>
          <w:p>
            <w:pPr>
              <w:pStyle w:val="71"/>
              <w:rPr>
                <w:lang w:eastAsia="en-GB"/>
              </w:rPr>
            </w:pPr>
            <w:r>
              <w:rPr>
                <w:lang w:eastAsia="en-GB"/>
              </w:rPr>
              <w:t>Ancillary equipment</w:t>
            </w:r>
          </w:p>
        </w:tc>
        <w:tc>
          <w:tcPr>
            <w:tcW w:w="1131" w:type="dxa"/>
            <w:vMerge w:val="continue"/>
            <w:vAlign w:val="center"/>
          </w:tcPr>
          <w:p>
            <w:pPr>
              <w:pStyle w:val="71"/>
              <w:rPr>
                <w:lang w:eastAsia="en-GB"/>
              </w:rPr>
            </w:pPr>
          </w:p>
        </w:tc>
        <w:tc>
          <w:tcPr>
            <w:tcW w:w="3169" w:type="dxa"/>
            <w:vMerge w:val="continue"/>
            <w:vAlign w:val="center"/>
          </w:tcPr>
          <w:p>
            <w:pPr>
              <w:pStyle w:val="71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669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Radiated emission</w:t>
            </w:r>
          </w:p>
        </w:tc>
        <w:tc>
          <w:tcPr>
            <w:tcW w:w="1726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Enclosure</w:t>
            </w:r>
          </w:p>
        </w:tc>
        <w:tc>
          <w:tcPr>
            <w:tcW w:w="1118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applicable for </w:t>
            </w:r>
            <w:r>
              <w:rPr>
                <w:i/>
                <w:iCs/>
                <w:lang w:val="en-US" w:eastAsia="zh-CN"/>
              </w:rPr>
              <w:t>BS type 1-C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i/>
                <w:iCs/>
                <w:lang w:val="en-US" w:eastAsia="zh-CN"/>
              </w:rPr>
              <w:t>BS type 1-H</w:t>
            </w:r>
          </w:p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(Note)</w:t>
            </w:r>
          </w:p>
        </w:tc>
        <w:tc>
          <w:tcPr>
            <w:tcW w:w="1044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131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</w:t>
            </w:r>
          </w:p>
        </w:tc>
        <w:tc>
          <w:tcPr>
            <w:tcW w:w="31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ITU-R SM.329 [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6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Radiated emission</w:t>
            </w:r>
          </w:p>
        </w:tc>
        <w:tc>
          <w:tcPr>
            <w:tcW w:w="1726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Enclosure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rFonts w:hint="eastAsia"/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applicable]</w:t>
            </w:r>
          </w:p>
        </w:tc>
        <w:tc>
          <w:tcPr>
            <w:tcW w:w="1044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131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8.2.2</w:t>
            </w:r>
          </w:p>
        </w:tc>
        <w:tc>
          <w:tcPr>
            <w:tcW w:w="31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 xml:space="preserve">CISPR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en-GB"/>
              </w:rPr>
              <w:t>2 [11]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6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Conducted emission</w:t>
            </w:r>
          </w:p>
        </w:tc>
        <w:tc>
          <w:tcPr>
            <w:tcW w:w="1726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 xml:space="preserve">DC power input/output </w:t>
            </w:r>
            <w:r>
              <w:rPr>
                <w:iCs/>
                <w:lang w:eastAsia="en-GB"/>
              </w:rPr>
              <w:t>port</w:t>
            </w:r>
          </w:p>
        </w:tc>
        <w:tc>
          <w:tcPr>
            <w:tcW w:w="1118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044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131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8.3</w:t>
            </w:r>
          </w:p>
        </w:tc>
        <w:tc>
          <w:tcPr>
            <w:tcW w:w="31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CISPR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en-GB"/>
              </w:rPr>
              <w:t>2 [11]</w:t>
            </w:r>
            <w:del w:id="0" w:author="Xie(ZTE)" w:date="2019-01-21T15:12:02Z">
              <w:r>
                <w:rPr>
                  <w:lang w:eastAsia="en-GB"/>
                </w:rPr>
                <w:delText xml:space="preserve">, </w:delText>
              </w:r>
            </w:del>
            <w:del w:id="1" w:author="Xie(ZTE)" w:date="2019-01-21T15:12:02Z">
              <w:r>
                <w:rPr>
                  <w:lang w:eastAsia="en-GB"/>
                </w:rPr>
                <w:br w:type="textWrapping"/>
              </w:r>
            </w:del>
            <w:del w:id="2" w:author="Xie(ZTE)" w:date="2019-01-21T15:12:02Z">
              <w:r>
                <w:rPr>
                  <w:lang w:eastAsia="en-GB"/>
                </w:rPr>
                <w:delText>CISPR 16</w:delText>
              </w:r>
              <w:r>
                <w:rPr>
                  <w:lang w:eastAsia="en-GB"/>
                </w:rPr>
                <w:noBreakHyphen/>
              </w:r>
              <w:r>
                <w:rPr>
                  <w:lang w:eastAsia="en-GB"/>
                </w:rPr>
                <w:delText>1-1 [12]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6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Conducted emission</w:t>
            </w:r>
          </w:p>
        </w:tc>
        <w:tc>
          <w:tcPr>
            <w:tcW w:w="1726" w:type="dxa"/>
            <w:vAlign w:val="top"/>
          </w:tcPr>
          <w:p>
            <w:pPr>
              <w:pStyle w:val="54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AC mains input/output </w:t>
            </w:r>
            <w:r>
              <w:rPr>
                <w:iCs/>
                <w:lang w:val="fr-FR" w:eastAsia="en-GB"/>
              </w:rPr>
              <w:t>port</w:t>
            </w:r>
          </w:p>
        </w:tc>
        <w:tc>
          <w:tcPr>
            <w:tcW w:w="1118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044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131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8.4</w:t>
            </w:r>
          </w:p>
        </w:tc>
        <w:tc>
          <w:tcPr>
            <w:tcW w:w="31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CISPR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en-GB"/>
              </w:rPr>
              <w:t>2 [11]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trHeight w:val="396" w:hRule="atLeast"/>
          <w:jc w:val="center"/>
        </w:trPr>
        <w:tc>
          <w:tcPr>
            <w:tcW w:w="16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Conducted emission</w:t>
            </w:r>
          </w:p>
        </w:tc>
        <w:tc>
          <w:tcPr>
            <w:tcW w:w="1726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rFonts w:hint="eastAsia"/>
                <w:i/>
                <w:iCs/>
                <w:lang w:eastAsia="zh-CN"/>
              </w:rPr>
              <w:t>Telecommunication</w:t>
            </w:r>
            <w:r>
              <w:rPr>
                <w:i/>
                <w:iCs/>
                <w:lang w:eastAsia="en-GB"/>
              </w:rPr>
              <w:t xml:space="preserve"> port</w:t>
            </w:r>
          </w:p>
        </w:tc>
        <w:tc>
          <w:tcPr>
            <w:tcW w:w="1118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  <w:r>
              <w:rPr>
                <w:lang w:eastAsia="en-GB"/>
              </w:rPr>
              <w:br w:type="textWrapping"/>
            </w:r>
          </w:p>
        </w:tc>
        <w:tc>
          <w:tcPr>
            <w:tcW w:w="1044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131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8.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 xml:space="preserve">CISPR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en-GB"/>
              </w:rPr>
              <w:t>2 [11]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jc w:val="center"/>
        </w:trPr>
        <w:tc>
          <w:tcPr>
            <w:tcW w:w="16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Harmonic current emissions</w:t>
            </w:r>
          </w:p>
        </w:tc>
        <w:tc>
          <w:tcPr>
            <w:tcW w:w="1726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 xml:space="preserve">AC mains input </w:t>
            </w:r>
            <w:r>
              <w:rPr>
                <w:iCs/>
                <w:lang w:eastAsia="en-GB"/>
              </w:rPr>
              <w:t>port</w:t>
            </w:r>
          </w:p>
        </w:tc>
        <w:tc>
          <w:tcPr>
            <w:tcW w:w="1118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044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 xml:space="preserve"> applicable</w:t>
            </w:r>
          </w:p>
        </w:tc>
        <w:tc>
          <w:tcPr>
            <w:tcW w:w="1131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8.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IEC 61000-3-2 [13] or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 xml:space="preserve"> IEC 61000-3-12 [14]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trHeight w:val="643" w:hRule="atLeast"/>
          <w:jc w:val="center"/>
        </w:trPr>
        <w:tc>
          <w:tcPr>
            <w:tcW w:w="16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Voltage fluctuations and flicker</w:t>
            </w:r>
          </w:p>
        </w:tc>
        <w:tc>
          <w:tcPr>
            <w:tcW w:w="1726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 xml:space="preserve">AC mains input </w:t>
            </w:r>
            <w:r>
              <w:rPr>
                <w:iCs/>
                <w:lang w:eastAsia="en-GB"/>
              </w:rPr>
              <w:t>port</w:t>
            </w:r>
          </w:p>
        </w:tc>
        <w:tc>
          <w:tcPr>
            <w:tcW w:w="1118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044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applicable</w:t>
            </w:r>
          </w:p>
        </w:tc>
        <w:tc>
          <w:tcPr>
            <w:tcW w:w="1131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8.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69" w:type="dxa"/>
            <w:vAlign w:val="top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 xml:space="preserve">IEC 61000-3-3 [15] </w:t>
            </w:r>
            <w:r>
              <w:rPr>
                <w:lang w:eastAsia="zh-CN"/>
              </w:rPr>
              <w:t>] or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 IEC 61000-3-11 [16]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5" w:type="dxa"/>
            <w:bottom w:w="0" w:type="dxa"/>
            <w:right w:w="25" w:type="dxa"/>
          </w:tblCellMar>
        </w:tblPrEx>
        <w:trPr>
          <w:cantSplit/>
          <w:trHeight w:val="470" w:hRule="atLeast"/>
          <w:jc w:val="center"/>
        </w:trPr>
        <w:tc>
          <w:tcPr>
            <w:tcW w:w="9857" w:type="dxa"/>
            <w:gridSpan w:val="6"/>
            <w:vAlign w:val="top"/>
          </w:tcPr>
          <w:p>
            <w:pPr>
              <w:pStyle w:val="68"/>
              <w:rPr>
                <w:lang w:val="en-US" w:eastAsia="en-GB"/>
              </w:rPr>
            </w:pPr>
            <w:r>
              <w:rPr>
                <w:lang w:eastAsia="en-GB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</w:r>
            <w:r>
              <w:rPr>
                <w:rFonts w:hint="eastAsia"/>
                <w:lang w:val="en-US" w:eastAsia="zh-CN"/>
              </w:rPr>
              <w:t xml:space="preserve">Radiated 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 xml:space="preserve">mission requirements for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BS </w:t>
            </w:r>
            <w:r>
              <w:rPr>
                <w:i/>
                <w:iCs/>
                <w:lang w:val="en-US" w:eastAsia="zh-CN"/>
              </w:rPr>
              <w:t xml:space="preserve">type </w:t>
            </w:r>
            <w:r>
              <w:rPr>
                <w:rFonts w:hint="eastAsia"/>
                <w:i/>
                <w:iCs/>
                <w:lang w:val="en-US" w:eastAsia="zh-CN"/>
              </w:rPr>
              <w:t>1-O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 xml:space="preserve">BS type </w:t>
            </w:r>
            <w:r>
              <w:rPr>
                <w:rFonts w:hint="eastAsia"/>
                <w:i/>
                <w:iCs/>
                <w:lang w:val="en-US" w:eastAsia="zh-CN"/>
              </w:rPr>
              <w:t>2-O</w:t>
            </w:r>
            <w:r>
              <w:rPr>
                <w:rFonts w:hint="eastAsia"/>
                <w:lang w:val="en-US" w:eastAsia="zh-CN"/>
              </w:rPr>
              <w:t xml:space="preserve"> are described in subclause 8.2.1. </w:t>
            </w:r>
          </w:p>
        </w:tc>
      </w:tr>
    </w:tbl>
    <w:p>
      <w:pPr>
        <w:rPr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4"/>
        <w:rPr>
          <w:lang w:eastAsia="en-GB"/>
        </w:rPr>
      </w:pPr>
      <w:bookmarkStart w:id="22" w:name="_Toc535249237"/>
      <w:r>
        <w:rPr>
          <w:lang w:eastAsia="en-GB"/>
        </w:rPr>
        <w:t>8.3.2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22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 </w:t>
      </w:r>
      <w:r>
        <w:rPr>
          <w:rFonts w:hint="eastAsia" w:cs="v4.2.0"/>
          <w:lang w:val="en-US" w:eastAsia="zh-CN"/>
        </w:rPr>
        <w:t>3</w:t>
      </w:r>
      <w:r>
        <w:rPr>
          <w:rFonts w:cs="v4.2.0"/>
          <w:lang w:eastAsia="en-GB"/>
        </w:rPr>
        <w:t>2 [11] and the Artificial Mains Network (AMN) shall be connected to a DC power source.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In the case of DC output </w:t>
      </w:r>
      <w:r>
        <w:rPr>
          <w:rFonts w:cs="v4.2.0"/>
          <w:iCs/>
          <w:lang w:eastAsia="en-GB"/>
        </w:rPr>
        <w:t>port</w:t>
      </w:r>
      <w:r>
        <w:rPr>
          <w:rFonts w:cs="v4.2.0"/>
          <w:lang w:eastAsia="en-GB"/>
        </w:rPr>
        <w:t xml:space="preserve">s, the </w:t>
      </w:r>
      <w:r>
        <w:rPr>
          <w:rFonts w:cs="v4.2.0"/>
          <w:iCs/>
          <w:lang w:eastAsia="en-GB"/>
        </w:rPr>
        <w:t>port</w:t>
      </w:r>
      <w:r>
        <w:rPr>
          <w:rFonts w:cs="v4.2.0"/>
          <w:lang w:eastAsia="en-GB"/>
        </w:rPr>
        <w:t>s shall be connected via an AMN to a load drawing the rated current of the source.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A measuring receiver shall be connected to each AMN measurement </w:t>
      </w:r>
      <w:r>
        <w:rPr>
          <w:rFonts w:cs="v4.2.0"/>
          <w:iCs/>
          <w:lang w:eastAsia="en-GB"/>
        </w:rPr>
        <w:t>port</w:t>
      </w:r>
      <w:r>
        <w:rPr>
          <w:rFonts w:cs="v4.2.0"/>
          <w:lang w:eastAsia="en-GB"/>
        </w:rPr>
        <w:t xml:space="preserve"> in turn and the conducted emission recorded. 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equipment shall be installed with a ground plane as defined in CISPR </w:t>
      </w:r>
      <w:r>
        <w:rPr>
          <w:rFonts w:hint="eastAsia" w:cs="v4.2.0"/>
          <w:lang w:val="en-US" w:eastAsia="zh-CN"/>
        </w:rPr>
        <w:t>3</w:t>
      </w:r>
      <w:r>
        <w:rPr>
          <w:rFonts w:cs="v4.2.0"/>
          <w:lang w:eastAsia="en-GB"/>
        </w:rPr>
        <w:t>2 [11]. The reference earth point of the AMN shall be connected to the reference ground plane with a conductor as short as possible.</w:t>
      </w:r>
    </w:p>
    <w:p>
      <w:pPr>
        <w:rPr>
          <w:rFonts w:cs="v4.2.0"/>
          <w:lang w:eastAsia="en-GB"/>
        </w:rPr>
      </w:pPr>
      <w:del w:id="3" w:author="Xie(ZTE)" w:date="2019-01-21T15:12:12Z">
        <w:r>
          <w:rPr>
            <w:rFonts w:cs="v4.2.0"/>
            <w:lang w:eastAsia="en-GB"/>
          </w:rPr>
          <w:delText>The measurement receiver shall be in accordance with the requirements of section one of CISPR 16</w:delTex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delText>1-1 [12].</w:delText>
        </w:r>
      </w:del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6920F0"/>
    <w:rsid w:val="087E415B"/>
    <w:rsid w:val="08B6224F"/>
    <w:rsid w:val="0A44327C"/>
    <w:rsid w:val="0A9043E4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22890A5F"/>
    <w:rsid w:val="22A21242"/>
    <w:rsid w:val="244E42A3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D0B28A1"/>
    <w:rsid w:val="45714432"/>
    <w:rsid w:val="49270F4A"/>
    <w:rsid w:val="4C153A14"/>
    <w:rsid w:val="4F4062A6"/>
    <w:rsid w:val="50681AA0"/>
    <w:rsid w:val="51EA5792"/>
    <w:rsid w:val="53C446F6"/>
    <w:rsid w:val="53CF691B"/>
    <w:rsid w:val="571B5B61"/>
    <w:rsid w:val="57FC0FE1"/>
    <w:rsid w:val="59CD495F"/>
    <w:rsid w:val="5C526C07"/>
    <w:rsid w:val="5D0F046E"/>
    <w:rsid w:val="60523976"/>
    <w:rsid w:val="60EB665B"/>
    <w:rsid w:val="61AA1318"/>
    <w:rsid w:val="61F17199"/>
    <w:rsid w:val="66EE4C17"/>
    <w:rsid w:val="6A100EEE"/>
    <w:rsid w:val="6A644E23"/>
    <w:rsid w:val="6AB245F1"/>
    <w:rsid w:val="6B71347E"/>
    <w:rsid w:val="6CB36258"/>
    <w:rsid w:val="6DA44BB6"/>
    <w:rsid w:val="6E7C31EE"/>
    <w:rsid w:val="6EC24025"/>
    <w:rsid w:val="6FEC2554"/>
    <w:rsid w:val="71423024"/>
    <w:rsid w:val="72242558"/>
    <w:rsid w:val="735E0307"/>
    <w:rsid w:val="74D73469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2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2019-02-15T03:58:37Z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